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06C" w:rsidRPr="00F6506C" w:rsidRDefault="00F6506C" w:rsidP="00F6506C">
      <w:pPr>
        <w:spacing w:after="0" w:line="240" w:lineRule="auto"/>
        <w:ind w:left="57" w:right="57"/>
        <w:rPr>
          <w:rFonts w:ascii="Times New Roman" w:eastAsia="Times New Roman" w:hAnsi="Times New Roman" w:cs="Times New Roman"/>
          <w:color w:val="000000"/>
          <w:sz w:val="27"/>
          <w:szCs w:val="27"/>
          <w:lang w:eastAsia="it-IT"/>
        </w:rPr>
      </w:pPr>
      <w:r w:rsidRPr="00F6506C">
        <w:rPr>
          <w:rFonts w:ascii="Times New Roman" w:eastAsia="Times New Roman" w:hAnsi="Times New Roman" w:cs="Times New Roman"/>
          <w:b/>
          <w:bCs/>
          <w:color w:val="000000"/>
          <w:sz w:val="27"/>
          <w:szCs w:val="27"/>
          <w:lang w:eastAsia="it-IT"/>
        </w:rPr>
        <w:t>98/S-Classe delle lauree specialistiche in storia moderna</w:t>
      </w:r>
    </w:p>
    <w:p w:rsidR="00F6506C" w:rsidRPr="00F6506C" w:rsidRDefault="00F6506C" w:rsidP="00F6506C">
      <w:pPr>
        <w:spacing w:after="0" w:line="240" w:lineRule="auto"/>
        <w:ind w:left="57" w:right="57"/>
        <w:rPr>
          <w:rFonts w:ascii="Times New Roman" w:eastAsia="Times New Roman" w:hAnsi="Times New Roman" w:cs="Times New Roman"/>
          <w:color w:val="000000"/>
          <w:sz w:val="27"/>
          <w:szCs w:val="27"/>
          <w:lang w:eastAsia="it-IT"/>
        </w:rPr>
      </w:pPr>
      <w:r w:rsidRPr="00F6506C">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F6506C" w:rsidRPr="00F6506C" w:rsidTr="00F6506C">
        <w:trPr>
          <w:tblCellSpacing w:w="0" w:type="dxa"/>
        </w:trPr>
        <w:tc>
          <w:tcPr>
            <w:tcW w:w="4100" w:type="pct"/>
            <w:vAlign w:val="center"/>
            <w:hideMark/>
          </w:tcPr>
          <w:p w:rsidR="00F6506C" w:rsidRPr="00F6506C" w:rsidRDefault="00F6506C" w:rsidP="00F6506C">
            <w:pPr>
              <w:spacing w:after="0" w:line="240" w:lineRule="auto"/>
              <w:ind w:left="57" w:right="57"/>
              <w:jc w:val="center"/>
              <w:outlineLvl w:val="1"/>
              <w:rPr>
                <w:rFonts w:ascii="Times New Roman" w:eastAsia="Times New Roman" w:hAnsi="Times New Roman" w:cs="Times New Roman"/>
                <w:b/>
                <w:bCs/>
                <w:sz w:val="36"/>
                <w:szCs w:val="36"/>
                <w:lang w:eastAsia="it-IT"/>
              </w:rPr>
            </w:pPr>
            <w:r w:rsidRPr="00F6506C">
              <w:rPr>
                <w:rFonts w:ascii="Arial" w:eastAsia="Times New Roman" w:hAnsi="Arial" w:cs="Arial"/>
                <w:b/>
                <w:bCs/>
                <w:sz w:val="36"/>
                <w:szCs w:val="36"/>
                <w:lang w:eastAsia="it-IT"/>
              </w:rPr>
              <w:t>STORIA MODERNA</w:t>
            </w:r>
          </w:p>
        </w:tc>
      </w:tr>
    </w:tbl>
    <w:p w:rsidR="00F6506C" w:rsidRPr="00F6506C" w:rsidRDefault="00F6506C" w:rsidP="00F6506C">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9638"/>
      </w:tblGrid>
      <w:tr w:rsidR="00F6506C" w:rsidRPr="00F6506C" w:rsidTr="00F6506C">
        <w:trPr>
          <w:tblCellSpacing w:w="0" w:type="dxa"/>
        </w:trPr>
        <w:tc>
          <w:tcPr>
            <w:tcW w:w="5000" w:type="pct"/>
            <w:hideMark/>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618"/>
            </w:tblGrid>
            <w:tr w:rsidR="00F6506C" w:rsidRPr="00F6506C">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Obiettivi formativi specifici</w:t>
                  </w:r>
                </w:p>
                <w:p w:rsidR="00F6506C" w:rsidRPr="00F6506C" w:rsidRDefault="00F6506C" w:rsidP="00F6506C">
                  <w:pPr>
                    <w:spacing w:after="0" w:line="240" w:lineRule="auto"/>
                    <w:ind w:left="57" w:right="57"/>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Nell’ambito degli obiettivi formativi qualificanti previsti dall’ordinamento della classe 98/S, il presente corso di studi si propone un programma volto all’approfondimento delle conoscenze e delle competenze, anche di ricerca, nell’ambito della storia europea dell’età moderna, concepita tanto nelle sue articolazioni culturali e politico-istituzionali interne, quanto nelle sue proiezioni extraeuropee a partire dal Quattrocento. In particolare si propone di offrire una solida formazione diacronicamentearticolata dalla fine del medioevo alla prima metà del XIX secolo che tenga conto dell’interazione tra storia della cultura e delle idee, storia economica, sociale e di genere, storia politica e istituzionale delle società europee, nonché dai percorsi specifici dei processi di cambiamento all’interno degli spazi italiani. Vengono recuperati integralmente i crediti del Corso di Laurea triennale con curriculum di storia moderna. E’ previsto l’accesso tramite debiti formativi provenienti da altri corsi di classi di laurea triennali. </w:t>
                  </w:r>
                </w:p>
              </w:tc>
            </w:tr>
            <w:tr w:rsidR="00F6506C" w:rsidRPr="00F6506C">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Caratteristiche della prova finale</w:t>
                  </w:r>
                </w:p>
                <w:p w:rsidR="00F6506C" w:rsidRPr="00F6506C" w:rsidRDefault="00F6506C" w:rsidP="00F6506C">
                  <w:pPr>
                    <w:spacing w:after="0" w:line="240" w:lineRule="auto"/>
                    <w:ind w:left="57" w:right="57"/>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La prova finale consiste in una tesi scritta su un argomento concordato con un docente del corso, fondata su ricerche originale relative al periodo moderno, condotta su fonti storiche edite ed inedite, sull’eventuale ricorso a materiali di archivio utilizzati anche tramite l’ausilio di metodologie informatiche. La tesi deve evidenziare la piena padronanza della letteratura critica generale e specifica sul tema, buone capacità critiche ed espositive, capacità di analisi dei materiali bibliografici e documentari. L’elaborato dovrà essere discusso di fronte ad una commissione di almeno sette membri nominati dal Consiglio di Corso di Laurea. Per accede alla prova finale occorre avere acquisito nel quinquennio un numero di crediti pari a 300 meno quelli previsti per la prova finale pari a 24 crediti. Quest’ultima si ritiene superata se ottiene un punteggio minimo di 66/110.</w:t>
                  </w:r>
                </w:p>
              </w:tc>
            </w:tr>
            <w:tr w:rsidR="00F6506C" w:rsidRPr="00F6506C">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Ambiti occupazionali previsti per i laureati</w:t>
                  </w:r>
                </w:p>
                <w:p w:rsidR="00F6506C" w:rsidRPr="00F6506C" w:rsidRDefault="00F6506C" w:rsidP="00F6506C">
                  <w:pPr>
                    <w:spacing w:after="0" w:line="240" w:lineRule="auto"/>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Il presente corso di studi costituisce allo stato attuale delle correnti proposte legislative un parziale prerequisito per l’accesso alle scuole di specializzazione per insegnanti (SISS) o comunque quale titolo preferenziale entro profili di carriera differenziati nell’ambito dell’insegnamento. Inoltre la presente Laurea Specialistica prepara operatori specializzati nei seguenti ambiti:</w:t>
                  </w:r>
                </w:p>
                <w:p w:rsidR="00F6506C" w:rsidRPr="00F6506C" w:rsidRDefault="00F6506C" w:rsidP="00F6506C">
                  <w:pPr>
                    <w:spacing w:after="0" w:line="240" w:lineRule="auto"/>
                    <w:ind w:left="720" w:hanging="360"/>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w:t>
                  </w:r>
                  <w:r w:rsidRPr="00F6506C">
                    <w:rPr>
                      <w:rFonts w:ascii="Times New Roman" w:eastAsia="Times New Roman" w:hAnsi="Times New Roman" w:cs="Times New Roman"/>
                      <w:sz w:val="14"/>
                      <w:szCs w:val="14"/>
                      <w:lang w:eastAsia="it-IT"/>
                    </w:rPr>
                    <w:t>          </w:t>
                  </w:r>
                  <w:r w:rsidRPr="00F6506C">
                    <w:rPr>
                      <w:rFonts w:ascii="Times New Roman" w:eastAsia="Times New Roman" w:hAnsi="Times New Roman" w:cs="Times New Roman"/>
                      <w:sz w:val="20"/>
                      <w:szCs w:val="20"/>
                      <w:lang w:eastAsia="it-IT"/>
                    </w:rPr>
                    <w:t>pubblico impiego, anche a livello dirigenziale, in particolare dove siano richieste competenze storiche e culturali (enti locali, assessorati alla cultura, Sovrintendenze scolastiche, Archivi e Biblioteche, Uffici stampa etc.);</w:t>
                  </w:r>
                </w:p>
                <w:p w:rsidR="00F6506C" w:rsidRPr="00F6506C" w:rsidRDefault="00F6506C" w:rsidP="00F6506C">
                  <w:pPr>
                    <w:spacing w:after="0" w:line="240" w:lineRule="auto"/>
                    <w:ind w:left="720" w:hanging="360"/>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w:t>
                  </w:r>
                  <w:r w:rsidRPr="00F6506C">
                    <w:rPr>
                      <w:rFonts w:ascii="Times New Roman" w:eastAsia="Times New Roman" w:hAnsi="Times New Roman" w:cs="Times New Roman"/>
                      <w:sz w:val="14"/>
                      <w:szCs w:val="14"/>
                      <w:lang w:eastAsia="it-IT"/>
                    </w:rPr>
                    <w:t>          </w:t>
                  </w:r>
                  <w:r w:rsidRPr="00F6506C">
                    <w:rPr>
                      <w:rFonts w:ascii="Times New Roman" w:eastAsia="Times New Roman" w:hAnsi="Times New Roman" w:cs="Times New Roman"/>
                      <w:sz w:val="20"/>
                      <w:szCs w:val="20"/>
                      <w:lang w:eastAsia="it-IT"/>
                    </w:rPr>
                    <w:t>impiego pubblico e privato, anche a livello dirigenziale,  nell’ambito della gestione delle risorse umane, della conservazione e valorizzazione dei beni culturali e del patrimonio storico, anche in rapporto alla sua dislocazione sul territorio;</w:t>
                  </w:r>
                </w:p>
                <w:p w:rsidR="00F6506C" w:rsidRPr="00F6506C" w:rsidRDefault="00F6506C" w:rsidP="00F6506C">
                  <w:pPr>
                    <w:spacing w:after="0" w:line="240" w:lineRule="auto"/>
                    <w:ind w:left="720" w:hanging="360"/>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w:t>
                  </w:r>
                  <w:r w:rsidRPr="00F6506C">
                    <w:rPr>
                      <w:rFonts w:ascii="Times New Roman" w:eastAsia="Times New Roman" w:hAnsi="Times New Roman" w:cs="Times New Roman"/>
                      <w:sz w:val="14"/>
                      <w:szCs w:val="14"/>
                      <w:lang w:eastAsia="it-IT"/>
                    </w:rPr>
                    <w:t>          </w:t>
                  </w:r>
                  <w:r w:rsidRPr="00F6506C">
                    <w:rPr>
                      <w:rFonts w:ascii="Times New Roman" w:eastAsia="Times New Roman" w:hAnsi="Times New Roman" w:cs="Times New Roman"/>
                      <w:sz w:val="20"/>
                      <w:szCs w:val="20"/>
                      <w:lang w:eastAsia="it-IT"/>
                    </w:rPr>
                    <w:t>Case editrici e uffici di redazione, giornali, e strumenti di comunicazione di massa con funzioni di organizzazione, progettazione e promozione editoriale;</w:t>
                  </w:r>
                </w:p>
                <w:p w:rsidR="00F6506C" w:rsidRPr="00F6506C" w:rsidRDefault="00F6506C" w:rsidP="00F6506C">
                  <w:pPr>
                    <w:spacing w:after="0" w:line="240" w:lineRule="auto"/>
                    <w:ind w:left="720" w:hanging="360"/>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w:t>
                  </w:r>
                  <w:r w:rsidRPr="00F6506C">
                    <w:rPr>
                      <w:rFonts w:ascii="Times New Roman" w:eastAsia="Times New Roman" w:hAnsi="Times New Roman" w:cs="Times New Roman"/>
                      <w:sz w:val="14"/>
                      <w:szCs w:val="14"/>
                      <w:lang w:eastAsia="it-IT"/>
                    </w:rPr>
                    <w:t>          </w:t>
                  </w:r>
                  <w:r w:rsidRPr="00F6506C">
                    <w:rPr>
                      <w:rFonts w:ascii="Times New Roman" w:eastAsia="Times New Roman" w:hAnsi="Times New Roman" w:cs="Times New Roman"/>
                      <w:sz w:val="20"/>
                      <w:szCs w:val="20"/>
                      <w:lang w:eastAsia="it-IT"/>
                    </w:rPr>
                    <w:t>Organismi e gruppi di studio pubblici e privati, italiani e stranieri con funzione di promozione, conservazione, diffusione della cultura e della storia europea e progettazione di attività di consulenza e ricerca.</w:t>
                  </w:r>
                </w:p>
                <w:p w:rsidR="00F6506C" w:rsidRPr="00F6506C" w:rsidRDefault="00F6506C" w:rsidP="00F6506C">
                  <w:pPr>
                    <w:spacing w:after="0" w:line="240" w:lineRule="auto"/>
                    <w:ind w:left="57" w:right="57"/>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La presente Laurea Specialistica costituisce requisito indispensabile per l’accesso ai dottorati di ricerca di ambito storico-sociale, modernistico e comparatistico, nonché a master di II  livello.</w:t>
                  </w:r>
                </w:p>
              </w:tc>
            </w:tr>
          </w:tbl>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638"/>
            </w:tblGrid>
            <w:tr w:rsidR="00F6506C" w:rsidRPr="00F6506C">
              <w:trPr>
                <w:trHeight w:val="330"/>
                <w:tblCellSpacing w:w="0" w:type="dxa"/>
              </w:trPr>
              <w:tc>
                <w:tcPr>
                  <w:tcW w:w="5000" w:type="pct"/>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Referente: Prof. Renato PASTA</w:t>
                  </w:r>
                </w:p>
              </w:tc>
            </w:tr>
            <w:tr w:rsidR="00F6506C" w:rsidRPr="00F6506C">
              <w:trPr>
                <w:tblCellSpacing w:w="0" w:type="dxa"/>
              </w:trPr>
              <w:tc>
                <w:tcPr>
                  <w:tcW w:w="5000" w:type="pct"/>
                  <w:shd w:val="clear" w:color="auto" w:fill="FFFFFF"/>
                  <w:vAlign w:val="center"/>
                  <w:hideMark/>
                </w:tcPr>
                <w:p w:rsidR="00F6506C" w:rsidRPr="00F6506C" w:rsidRDefault="00F6506C" w:rsidP="00F6506C">
                  <w:pPr>
                    <w:spacing w:after="0" w:line="240" w:lineRule="auto"/>
                    <w:ind w:left="57" w:right="57"/>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p w:rsidR="00F6506C" w:rsidRPr="00F6506C" w:rsidRDefault="00F6506C" w:rsidP="00F6506C">
                  <w:pPr>
                    <w:spacing w:after="0" w:line="240" w:lineRule="auto"/>
                    <w:ind w:left="57" w:right="57"/>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AVVERTENZA</w:t>
                  </w:r>
                  <w:r w:rsidRPr="00F6506C">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F6506C">
                    <w:rPr>
                      <w:rFonts w:ascii="Times New Roman" w:eastAsia="Times New Roman" w:hAnsi="Times New Roman" w:cs="Times New Roman"/>
                      <w:b/>
                      <w:bCs/>
                      <w:sz w:val="20"/>
                      <w:szCs w:val="20"/>
                      <w:lang w:eastAsia="it-IT"/>
                    </w:rPr>
                    <w:t>(T)</w:t>
                  </w:r>
                  <w:r w:rsidRPr="00F6506C">
                    <w:rPr>
                      <w:rFonts w:ascii="Times New Roman" w:eastAsia="Times New Roman" w:hAnsi="Times New Roman" w:cs="Times New Roman"/>
                      <w:sz w:val="20"/>
                      <w:szCs w:val="20"/>
                      <w:lang w:eastAsia="it-IT"/>
                    </w:rPr>
                    <w:t> e quelli da acquisire nel biennio specialistico </w:t>
                  </w:r>
                  <w:r w:rsidRPr="00F6506C">
                    <w:rPr>
                      <w:rFonts w:ascii="Times New Roman" w:eastAsia="Times New Roman" w:hAnsi="Times New Roman" w:cs="Times New Roman"/>
                      <w:b/>
                      <w:bCs/>
                      <w:sz w:val="20"/>
                      <w:szCs w:val="20"/>
                      <w:lang w:eastAsia="it-IT"/>
                    </w:rPr>
                    <w:t>(S)</w:t>
                  </w:r>
                  <w:r w:rsidRPr="00F6506C">
                    <w:rPr>
                      <w:rFonts w:ascii="Times New Roman" w:eastAsia="Times New Roman" w:hAnsi="Times New Roman" w:cs="Times New Roman"/>
                      <w:sz w:val="20"/>
                      <w:szCs w:val="20"/>
                      <w:lang w:eastAsia="it-IT"/>
                    </w:rPr>
                    <w:t>.</w:t>
                  </w:r>
                </w:p>
              </w:tc>
            </w:tr>
          </w:tbl>
          <w:p w:rsidR="00F6506C" w:rsidRPr="00F6506C" w:rsidRDefault="00F6506C" w:rsidP="00F6506C">
            <w:pPr>
              <w:spacing w:after="0" w:line="240" w:lineRule="auto"/>
              <w:ind w:left="57" w:right="57"/>
              <w:jc w:val="both"/>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89"/>
              <w:gridCol w:w="1099"/>
              <w:gridCol w:w="566"/>
              <w:gridCol w:w="566"/>
              <w:gridCol w:w="5148"/>
              <w:gridCol w:w="60"/>
            </w:tblGrid>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totaleCFU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CFU</w:t>
                  </w:r>
                </w:p>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CFU</w:t>
                  </w:r>
                </w:p>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Settori scientifico disciplinari</w:t>
                  </w:r>
                </w:p>
              </w:tc>
              <w:tc>
                <w:tcPr>
                  <w:tcW w:w="0" w:type="pct"/>
                  <w:tcBorders>
                    <w:top w:val="nil"/>
                    <w:left w:val="nil"/>
                    <w:bottom w:val="nil"/>
                    <w:right w:val="nil"/>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4"/>
                      <w:szCs w:val="24"/>
                      <w:lang w:eastAsia="it-IT"/>
                    </w:rPr>
                    <w:t> </w:t>
                  </w:r>
                </w:p>
              </w:tc>
            </w:tr>
            <w:tr w:rsidR="00F6506C" w:rsidRPr="00F6506C">
              <w:trPr>
                <w:trHeight w:val="1605"/>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Archivistica e bibliografia</w:t>
                  </w:r>
                </w:p>
              </w:tc>
              <w:tc>
                <w:tcPr>
                  <w:tcW w:w="350" w:type="pc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in due insegnamenti a scelta fra i seguenti settori (per un totale di CFU 12):</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M-STO/08 : ARCHIVISTICA, BIBLIOGRAFIA E BIBLIOTECONOMIA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Archivistica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Bibliografia e biblioteconomia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M-STO/09 : PALEOGRAFIA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Paleografia latina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Diplomatica</w:t>
                  </w:r>
                </w:p>
              </w:tc>
              <w:tc>
                <w:tcPr>
                  <w:tcW w:w="0" w:type="pct"/>
                  <w:tcBorders>
                    <w:top w:val="nil"/>
                    <w:left w:val="nil"/>
                    <w:bottom w:val="nil"/>
                    <w:right w:val="nil"/>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4"/>
                      <w:szCs w:val="24"/>
                      <w:lang w:eastAsia="it-IT"/>
                    </w:rPr>
                    <w:t> </w:t>
                  </w:r>
                </w:p>
              </w:tc>
            </w:tr>
            <w:tr w:rsidR="00F6506C" w:rsidRPr="00F6506C">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lastRenderedPageBreak/>
                    <w:t>Statistica, demografia e geografia</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M-GGR/01 : GEOGRAFIA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w:t>
                  </w:r>
                  <w:r w:rsidRPr="00F6506C">
                    <w:rPr>
                      <w:rFonts w:ascii="Times New Roman" w:eastAsia="Times New Roman" w:hAnsi="Times New Roman" w:cs="Times New Roman"/>
                      <w:sz w:val="20"/>
                      <w:szCs w:val="20"/>
                      <w:lang w:eastAsia="it-IT"/>
                    </w:rPr>
                    <w:t>Geografia</w:t>
                  </w:r>
                </w:p>
              </w:tc>
              <w:tc>
                <w:tcPr>
                  <w:tcW w:w="0" w:type="pct"/>
                  <w:tcBorders>
                    <w:top w:val="nil"/>
                    <w:left w:val="nil"/>
                    <w:bottom w:val="nil"/>
                    <w:right w:val="nil"/>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4"/>
                      <w:szCs w:val="24"/>
                      <w:lang w:eastAsia="it-IT"/>
                    </w:rPr>
                    <w:t> </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SECS-S/04 : DEMOGRAFIA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w:t>
                  </w:r>
                  <w:r w:rsidRPr="00F6506C">
                    <w:rPr>
                      <w:rFonts w:ascii="Times New Roman" w:eastAsia="Times New Roman" w:hAnsi="Times New Roman" w:cs="Times New Roman"/>
                      <w:sz w:val="20"/>
                      <w:szCs w:val="20"/>
                      <w:lang w:eastAsia="it-IT"/>
                    </w:rPr>
                    <w:t>Demografia storica</w:t>
                  </w:r>
                </w:p>
              </w:tc>
              <w:tc>
                <w:tcPr>
                  <w:tcW w:w="0" w:type="pct"/>
                  <w:tcBorders>
                    <w:top w:val="nil"/>
                    <w:left w:val="nil"/>
                    <w:bottom w:val="nil"/>
                    <w:right w:val="nil"/>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4"/>
                      <w:szCs w:val="24"/>
                      <w:lang w:eastAsia="it-IT"/>
                    </w:rPr>
                    <w:t> </w:t>
                  </w:r>
                </w:p>
              </w:tc>
            </w:tr>
            <w:tr w:rsidR="00F6506C" w:rsidRPr="00F6506C">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Storia</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M-STO/01 : STORIA MEDIEVALE</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w:t>
                  </w:r>
                  <w:r w:rsidRPr="00F6506C">
                    <w:rPr>
                      <w:rFonts w:ascii="Times New Roman" w:eastAsia="Times New Roman" w:hAnsi="Times New Roman" w:cs="Times New Roman"/>
                      <w:sz w:val="20"/>
                      <w:szCs w:val="20"/>
                      <w:lang w:eastAsia="it-IT"/>
                    </w:rPr>
                    <w:t>Storia medievale</w:t>
                  </w:r>
                </w:p>
              </w:tc>
              <w:tc>
                <w:tcPr>
                  <w:tcW w:w="0" w:type="pct"/>
                  <w:shd w:val="clear" w:color="auto" w:fill="auto"/>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 </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M-STO/01 : STORIA MEDIEVALE</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a scelta fra: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medievale</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Antichità e istituzioni medievali</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Esegesi delle fonti storiche medievali</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di una regione nel medioevo: Toscana</w:t>
                  </w:r>
                </w:p>
              </w:tc>
              <w:tc>
                <w:tcPr>
                  <w:tcW w:w="0" w:type="pct"/>
                  <w:tcBorders>
                    <w:top w:val="nil"/>
                    <w:left w:val="nil"/>
                    <w:bottom w:val="nil"/>
                    <w:right w:val="nil"/>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4"/>
                      <w:szCs w:val="24"/>
                      <w:lang w:eastAsia="it-IT"/>
                    </w:rPr>
                    <w:t> </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M-STO/02 : STORIA MODERNA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12 </w:t>
                  </w:r>
                  <w:r w:rsidRPr="00F6506C">
                    <w:rPr>
                      <w:rFonts w:ascii="Times New Roman" w:eastAsia="Times New Roman" w:hAnsi="Times New Roman" w:cs="Times New Roman"/>
                      <w:sz w:val="20"/>
                      <w:szCs w:val="20"/>
                      <w:lang w:eastAsia="it-IT"/>
                    </w:rPr>
                    <w:t>Storia moderna</w:t>
                  </w:r>
                </w:p>
              </w:tc>
              <w:tc>
                <w:tcPr>
                  <w:tcW w:w="0" w:type="pct"/>
                  <w:tcBorders>
                    <w:top w:val="nil"/>
                    <w:left w:val="nil"/>
                    <w:bottom w:val="nil"/>
                    <w:right w:val="nil"/>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4"/>
                      <w:szCs w:val="24"/>
                      <w:lang w:eastAsia="it-IT"/>
                    </w:rPr>
                    <w:t> </w:t>
                  </w:r>
                </w:p>
              </w:tc>
            </w:tr>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6</w:t>
                  </w:r>
                </w:p>
              </w:tc>
              <w:tc>
                <w:tcPr>
                  <w:tcW w:w="2700" w:type="pct"/>
                  <w:gridSpan w:val="2"/>
                  <w:tcBorders>
                    <w:top w:val="nil"/>
                    <w:left w:val="nil"/>
                    <w:bottom w:val="nil"/>
                    <w:right w:val="nil"/>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4"/>
                      <w:szCs w:val="24"/>
                      <w:lang w:eastAsia="it-IT"/>
                    </w:rPr>
                    <w:t> </w:t>
                  </w:r>
                </w:p>
              </w:tc>
            </w:tr>
          </w:tbl>
          <w:p w:rsidR="00F6506C" w:rsidRPr="00F6506C" w:rsidRDefault="00F6506C" w:rsidP="00F6506C">
            <w:pPr>
              <w:spacing w:after="0" w:line="240" w:lineRule="auto"/>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4"/>
                <w:szCs w:val="24"/>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88"/>
              <w:gridCol w:w="1154"/>
              <w:gridCol w:w="566"/>
              <w:gridCol w:w="566"/>
              <w:gridCol w:w="5144"/>
            </w:tblGrid>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CFU</w:t>
                  </w:r>
                </w:p>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CFU</w:t>
                  </w:r>
                </w:p>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Settori scientifico disciplinari</w:t>
                  </w:r>
                </w:p>
              </w:tc>
            </w:tr>
            <w:tr w:rsidR="00F6506C" w:rsidRPr="00F6506C">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Storia dell'economia, del pensiero economico, della scienza, della tecnica e dell'industria</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L-ART/02 : STORIA DELL'ARTE MODERNA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w:t>
                  </w:r>
                  <w:r w:rsidRPr="00F6506C">
                    <w:rPr>
                      <w:rFonts w:ascii="Times New Roman" w:eastAsia="Times New Roman" w:hAnsi="Times New Roman" w:cs="Times New Roman"/>
                      <w:sz w:val="20"/>
                      <w:szCs w:val="20"/>
                      <w:lang w:eastAsia="it-IT"/>
                    </w:rPr>
                    <w:t>Storia dell’arte moderna</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M-STO/05 : STORIA DELLA SCIENZA E DELLE TECNICHE</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w:t>
                  </w:r>
                  <w:r w:rsidRPr="00F6506C">
                    <w:rPr>
                      <w:rFonts w:ascii="Times New Roman" w:eastAsia="Times New Roman" w:hAnsi="Times New Roman" w:cs="Times New Roman"/>
                      <w:sz w:val="20"/>
                      <w:szCs w:val="20"/>
                      <w:lang w:eastAsia="it-IT"/>
                    </w:rPr>
                    <w:t>Storia della scienza</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SECS-P/12 : STORIA ECONOMICA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12 a scelta fra: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economica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dell’industria</w:t>
                  </w:r>
                </w:p>
              </w:tc>
            </w:tr>
            <w:tr w:rsidR="00F6506C" w:rsidRPr="00F6506C">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Storia dell'eta moderna dell'Europa e dei paesiextraeuropei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M-STO/02 : STORIA MODERNA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w:t>
                  </w:r>
                  <w:r w:rsidRPr="00F6506C">
                    <w:rPr>
                      <w:rFonts w:ascii="Times New Roman" w:eastAsia="Times New Roman" w:hAnsi="Times New Roman" w:cs="Times New Roman"/>
                      <w:sz w:val="20"/>
                      <w:szCs w:val="20"/>
                      <w:lang w:eastAsia="it-IT"/>
                    </w:rPr>
                    <w:t> Storia moderna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36 a scelta fra: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moderna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degli antichi stati italiani</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dell’età dell’Illuminismo</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dell’Europa moderna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di una regione nell’età moderna: Toscana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Esegesi delle fonti storiche per l’età moderna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 Rinascimento</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Informatica e storia moderna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dell’età della Riforma e della Controriforma</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SPS/05 : STORIA E ISTITUZIONI DELLE AMERICHE</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12 a scelta fra: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dell’America del Nord;</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dell’America latina</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SPS/14 : STORIA E ISTITUZIONI DELL'ASIA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12 </w:t>
                  </w:r>
                  <w:r w:rsidRPr="00F6506C">
                    <w:rPr>
                      <w:rFonts w:ascii="Times New Roman" w:eastAsia="Times New Roman" w:hAnsi="Times New Roman" w:cs="Times New Roman"/>
                      <w:sz w:val="20"/>
                      <w:szCs w:val="20"/>
                      <w:lang w:eastAsia="it-IT"/>
                    </w:rPr>
                    <w:t>Storia dell’Asia orientale</w:t>
                  </w:r>
                </w:p>
              </w:tc>
            </w:tr>
            <w:tr w:rsidR="00F6506C" w:rsidRPr="00F6506C">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Storia e delle istituzioni e delle dottrine politiche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M-FIL/06 : STORIA DELLA FILOSOFIA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12 a scelta fra:</w:t>
                  </w:r>
                </w:p>
                <w:p w:rsidR="00F6506C" w:rsidRPr="00F6506C" w:rsidRDefault="00F6506C" w:rsidP="00F6506C">
                  <w:pPr>
                    <w:spacing w:after="0" w:line="240" w:lineRule="auto"/>
                    <w:ind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i/>
                      <w:iCs/>
                      <w:sz w:val="20"/>
                      <w:szCs w:val="20"/>
                      <w:lang w:eastAsia="it-IT"/>
                    </w:rPr>
                    <w:t> </w:t>
                  </w:r>
                  <w:r w:rsidRPr="00F6506C">
                    <w:rPr>
                      <w:rFonts w:ascii="Times New Roman" w:eastAsia="Times New Roman" w:hAnsi="Times New Roman" w:cs="Times New Roman"/>
                      <w:sz w:val="20"/>
                      <w:szCs w:val="20"/>
                      <w:lang w:eastAsia="it-IT"/>
                    </w:rPr>
                    <w:t>Storia della filosofia;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della filosofia del Rinascimento;</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della logica</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SPS/02 : STORIA DELLE DOTTRINE POLITICHE</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w:t>
                  </w:r>
                  <w:r w:rsidRPr="00F6506C">
                    <w:rPr>
                      <w:rFonts w:ascii="Times New Roman" w:eastAsia="Times New Roman" w:hAnsi="Times New Roman" w:cs="Times New Roman"/>
                      <w:sz w:val="20"/>
                      <w:szCs w:val="20"/>
                      <w:lang w:eastAsia="it-IT"/>
                    </w:rPr>
                    <w:t>Storia delle dottrine politiche</w:t>
                  </w:r>
                </w:p>
              </w:tc>
            </w:tr>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108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60</w:t>
                  </w:r>
                </w:p>
              </w:tc>
              <w:tc>
                <w:tcPr>
                  <w:tcW w:w="2650" w:type="pct"/>
                  <w:tcBorders>
                    <w:top w:val="nil"/>
                    <w:left w:val="nil"/>
                    <w:bottom w:val="nil"/>
                    <w:right w:val="nil"/>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4"/>
                      <w:szCs w:val="24"/>
                      <w:lang w:eastAsia="it-IT"/>
                    </w:rPr>
                    <w:t> </w:t>
                  </w:r>
                </w:p>
              </w:tc>
            </w:tr>
          </w:tbl>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88"/>
              <w:gridCol w:w="1154"/>
              <w:gridCol w:w="566"/>
              <w:gridCol w:w="566"/>
              <w:gridCol w:w="5144"/>
            </w:tblGrid>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CFU</w:t>
                  </w:r>
                </w:p>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CFU</w:t>
                  </w:r>
                </w:p>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Settori scientifico disciplinari</w:t>
                  </w:r>
                </w:p>
              </w:tc>
            </w:tr>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lastRenderedPageBreak/>
                    <w:t>Discipline di contesto</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M-DEA/01 : DISCIPLINE DEMOETNOANTROPOLOGICHE</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 CFU a scelta fra: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Antropologia culturale;</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delle tradizioni popolari</w:t>
                  </w:r>
                </w:p>
              </w:tc>
            </w:tr>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Discipline linguistiche e letterarie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L-FIL-LET/10 : LETTERATURA ITALIANA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12 </w:t>
                  </w:r>
                  <w:r w:rsidRPr="00F6506C">
                    <w:rPr>
                      <w:rFonts w:ascii="Times New Roman" w:eastAsia="Times New Roman" w:hAnsi="Times New Roman" w:cs="Times New Roman"/>
                      <w:sz w:val="20"/>
                      <w:szCs w:val="20"/>
                      <w:lang w:eastAsia="it-IT"/>
                    </w:rPr>
                    <w:t>Letteratura italiana</w:t>
                  </w:r>
                </w:p>
              </w:tc>
            </w:tr>
            <w:tr w:rsidR="00F6506C" w:rsidRPr="00F6506C">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Storia del diritto e del cristianesimo</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IUS/19 : STORIA DEL DIRITTO MEDIEVALE E MODERNO</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a scelta fra: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 diritto italiano;</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 diritto medievale e moderno;</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delle costituzioni moderne;</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delle codificazioni moderne</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M-STO/07 : STORIA DEL CRISTIANESIMO E DELLE CHIESE</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a scelta fra: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della chiesa;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della Chiesa moderna e contemporanea</w:t>
                  </w:r>
                </w:p>
              </w:tc>
            </w:tr>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12</w:t>
                  </w:r>
                </w:p>
              </w:tc>
              <w:tc>
                <w:tcPr>
                  <w:tcW w:w="2650" w:type="pct"/>
                  <w:tcBorders>
                    <w:top w:val="nil"/>
                    <w:left w:val="nil"/>
                    <w:bottom w:val="nil"/>
                    <w:right w:val="nil"/>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4"/>
                      <w:szCs w:val="24"/>
                      <w:lang w:eastAsia="it-IT"/>
                    </w:rPr>
                    <w:t> </w:t>
                  </w:r>
                </w:p>
              </w:tc>
            </w:tr>
          </w:tbl>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88"/>
              <w:gridCol w:w="1154"/>
              <w:gridCol w:w="566"/>
              <w:gridCol w:w="566"/>
              <w:gridCol w:w="5144"/>
            </w:tblGrid>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CFU</w:t>
                  </w:r>
                </w:p>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CFU</w:t>
                  </w:r>
                </w:p>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Settori scientifico disciplinari</w:t>
                  </w:r>
                </w:p>
              </w:tc>
            </w:tr>
            <w:tr w:rsidR="00F6506C" w:rsidRPr="00F6506C">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a scelta fra i seguenti settori:</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L-ANT/02 : STORIA GRECA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greca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L-ANT/03 : STORIA ROMANA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romana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L-OR/01: STORIA DEL VICINO ORIENTE ANTICO</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 Vicino Oriente antico</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L-ANT/03  STORIA ROMANA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w:t>
                  </w:r>
                  <w:r w:rsidRPr="00F6506C">
                    <w:rPr>
                      <w:rFonts w:ascii="Times New Roman" w:eastAsia="Times New Roman" w:hAnsi="Times New Roman" w:cs="Times New Roman"/>
                      <w:sz w:val="20"/>
                      <w:szCs w:val="20"/>
                      <w:lang w:eastAsia="it-IT"/>
                    </w:rPr>
                    <w:t>Storia romana</w:t>
                  </w:r>
                </w:p>
              </w:tc>
            </w:tr>
            <w:tr w:rsidR="00F6506C" w:rsidRPr="00F6506C">
              <w:trPr>
                <w:trHeight w:val="115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a scelta fra i seguenti settori:</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L-ART/05 : DISCIPLINE DELLO SPETTACOLO</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 teatro e dello spettacolo</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L-ART/07 : MUSICOLOGIA E STORIA DELLA MUSICA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della musica</w:t>
                  </w:r>
                </w:p>
              </w:tc>
            </w:tr>
            <w:tr w:rsidR="00F6506C" w:rsidRPr="00F6506C">
              <w:trPr>
                <w:trHeight w:val="2070"/>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a scelta fra i seguenti settori:</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L-FIL-LET/04 : LINGUA E LETTERATURA LATINA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Lingua e letteratura latina;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Letteratura latina;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Filologia latina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L-FIL-LET/09 : FILOLOGIA E LINGUISTICA ROMANZA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Filologia romanza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L-FIL-LET/12 : LINGUISTICA ITALIANA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della lingua italiana</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M-STO/04 : STORIA CONTEMPORANEA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CFU 6 </w:t>
                  </w:r>
                  <w:r w:rsidRPr="00F6506C">
                    <w:rPr>
                      <w:rFonts w:ascii="Times New Roman" w:eastAsia="Times New Roman" w:hAnsi="Times New Roman" w:cs="Times New Roman"/>
                      <w:sz w:val="20"/>
                      <w:szCs w:val="20"/>
                      <w:lang w:eastAsia="it-IT"/>
                    </w:rPr>
                    <w:t>Storia contemporanea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 CFU a scelta fra: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contemporanea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 giornalismo</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dei movimenti e dei partiti politici</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 Risorgimento</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dell’Europa contemporanea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dell’Italia contemporanea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di una regione italiana: Toscana contemporanea</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 movimento sindacale</w:t>
                  </w:r>
                </w:p>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Storia della Russia</w:t>
                  </w:r>
                </w:p>
              </w:tc>
            </w:tr>
          </w:tbl>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88"/>
              <w:gridCol w:w="1154"/>
              <w:gridCol w:w="566"/>
              <w:gridCol w:w="566"/>
              <w:gridCol w:w="5144"/>
            </w:tblGrid>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lastRenderedPageBreak/>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CFU</w:t>
                  </w:r>
                </w:p>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CFU</w:t>
                  </w:r>
                </w:p>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Tipologie</w:t>
                  </w:r>
                </w:p>
              </w:tc>
            </w:tr>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r>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24</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Prova finale</w:t>
                  </w:r>
                </w:p>
              </w:tc>
            </w:tr>
            <w:tr w:rsidR="00F6506C" w:rsidRPr="00F6506C">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776"/>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Conoscenza di due lingue straniere, di cui una dell’Unione Europea</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Abilità informatiche</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Tirocini</w:t>
                  </w:r>
                </w:p>
              </w:tc>
            </w:tr>
            <w:tr w:rsidR="00F6506C" w:rsidRPr="00F6506C">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Laboratorio di lingua italiana</w:t>
                  </w:r>
                </w:p>
              </w:tc>
            </w:tr>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 </w:t>
                  </w:r>
                </w:p>
              </w:tc>
            </w:tr>
          </w:tbl>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28"/>
              <w:gridCol w:w="528"/>
              <w:gridCol w:w="528"/>
              <w:gridCol w:w="4148"/>
            </w:tblGrid>
            <w:tr w:rsidR="00F6506C" w:rsidRPr="00F6506C">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F6506C" w:rsidRPr="00F6506C" w:rsidRDefault="00F6506C" w:rsidP="00F6506C">
                  <w:pPr>
                    <w:spacing w:after="0" w:line="240" w:lineRule="auto"/>
                    <w:ind w:left="57" w:right="57"/>
                    <w:jc w:val="center"/>
                    <w:rPr>
                      <w:rFonts w:ascii="Times New Roman" w:eastAsia="Times New Roman" w:hAnsi="Times New Roman" w:cs="Times New Roman"/>
                      <w:sz w:val="24"/>
                      <w:szCs w:val="24"/>
                      <w:lang w:eastAsia="it-IT"/>
                    </w:rPr>
                  </w:pPr>
                  <w:r w:rsidRPr="00F6506C">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F6506C" w:rsidRPr="00F6506C" w:rsidRDefault="00F6506C" w:rsidP="00F6506C">
                  <w:pPr>
                    <w:spacing w:after="0" w:line="240" w:lineRule="auto"/>
                    <w:ind w:left="57" w:right="57"/>
                    <w:rPr>
                      <w:rFonts w:ascii="Times New Roman" w:eastAsia="Times New Roman" w:hAnsi="Times New Roman" w:cs="Times New Roman"/>
                      <w:sz w:val="24"/>
                      <w:szCs w:val="24"/>
                      <w:lang w:eastAsia="it-IT"/>
                    </w:rPr>
                  </w:pPr>
                  <w:r w:rsidRPr="00F6506C">
                    <w:rPr>
                      <w:rFonts w:ascii="Times New Roman" w:eastAsia="Times New Roman" w:hAnsi="Times New Roman" w:cs="Times New Roman"/>
                      <w:sz w:val="20"/>
                      <w:szCs w:val="20"/>
                      <w:lang w:eastAsia="it-IT"/>
                    </w:rPr>
                    <w:t> </w:t>
                  </w:r>
                </w:p>
              </w:tc>
            </w:tr>
          </w:tbl>
          <w:p w:rsidR="00F6506C" w:rsidRPr="00F6506C" w:rsidRDefault="00F6506C" w:rsidP="00F6506C">
            <w:pPr>
              <w:spacing w:after="0" w:line="240" w:lineRule="auto"/>
              <w:rPr>
                <w:rFonts w:ascii="Times New Roman" w:eastAsia="Times New Roman" w:hAnsi="Times New Roman" w:cs="Times New Roman"/>
                <w:sz w:val="24"/>
                <w:szCs w:val="24"/>
                <w:lang w:eastAsia="it-IT"/>
              </w:rPr>
            </w:pPr>
          </w:p>
        </w:tc>
      </w:tr>
    </w:tbl>
    <w:p w:rsidR="00F6506C" w:rsidRPr="00F6506C" w:rsidRDefault="00F6506C" w:rsidP="00F6506C">
      <w:pPr>
        <w:spacing w:after="0" w:line="240" w:lineRule="auto"/>
        <w:ind w:left="57" w:right="57"/>
        <w:rPr>
          <w:rFonts w:ascii="Times New Roman" w:eastAsia="Times New Roman" w:hAnsi="Times New Roman" w:cs="Times New Roman"/>
          <w:color w:val="000000"/>
          <w:sz w:val="27"/>
          <w:szCs w:val="27"/>
          <w:lang w:eastAsia="it-IT"/>
        </w:rPr>
      </w:pPr>
      <w:r w:rsidRPr="00F6506C">
        <w:rPr>
          <w:rFonts w:ascii="Times New Roman" w:eastAsia="Times New Roman" w:hAnsi="Times New Roman" w:cs="Times New Roman"/>
          <w:color w:val="000000"/>
          <w:sz w:val="20"/>
          <w:szCs w:val="20"/>
          <w:lang w:eastAsia="it-IT"/>
        </w:rPr>
        <w:lastRenderedPageBreak/>
        <w:t> </w:t>
      </w:r>
    </w:p>
    <w:p w:rsidR="00F6506C" w:rsidRPr="00F6506C" w:rsidRDefault="00F6506C" w:rsidP="00F6506C">
      <w:pPr>
        <w:spacing w:after="0" w:line="240" w:lineRule="auto"/>
        <w:rPr>
          <w:rFonts w:ascii="Times New Roman" w:eastAsia="Times New Roman" w:hAnsi="Times New Roman" w:cs="Times New Roman"/>
          <w:color w:val="000000"/>
          <w:sz w:val="27"/>
          <w:szCs w:val="27"/>
          <w:lang w:eastAsia="it-IT"/>
        </w:rPr>
      </w:pPr>
      <w:r w:rsidRPr="00F6506C">
        <w:rPr>
          <w:rFonts w:ascii="Times New Roman" w:eastAsia="Times New Roman" w:hAnsi="Times New Roman" w:cs="Times New Roman"/>
          <w:color w:val="000000"/>
          <w:sz w:val="20"/>
          <w:szCs w:val="20"/>
          <w:lang w:eastAsia="it-IT"/>
        </w:rPr>
        <w:t> </w:t>
      </w:r>
    </w:p>
    <w:p w:rsidR="006476B1" w:rsidRDefault="006476B1">
      <w:bookmarkStart w:id="0" w:name="_GoBack"/>
      <w:bookmarkEnd w:id="0"/>
    </w:p>
    <w:sectPr w:rsidR="006476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6C"/>
    <w:rsid w:val="006476B1"/>
    <w:rsid w:val="00F650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6506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6506C"/>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F6506C"/>
  </w:style>
  <w:style w:type="character" w:customStyle="1" w:styleId="grame">
    <w:name w:val="grame"/>
    <w:basedOn w:val="Carpredefinitoparagrafo"/>
    <w:rsid w:val="00F6506C"/>
  </w:style>
  <w:style w:type="paragraph" w:styleId="NormaleWeb">
    <w:name w:val="Normal (Web)"/>
    <w:basedOn w:val="Normale"/>
    <w:uiPriority w:val="99"/>
    <w:unhideWhenUsed/>
    <w:rsid w:val="00F650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elle">
    <w:name w:val="spelle"/>
    <w:basedOn w:val="Carpredefinitoparagrafo"/>
    <w:rsid w:val="00F650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6506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6506C"/>
    <w:rPr>
      <w:rFonts w:ascii="Times New Roman" w:eastAsia="Times New Roman" w:hAnsi="Times New Roman" w:cs="Times New Roman"/>
      <w:b/>
      <w:bCs/>
      <w:sz w:val="36"/>
      <w:szCs w:val="36"/>
      <w:lang w:eastAsia="it-IT"/>
    </w:rPr>
  </w:style>
  <w:style w:type="character" w:customStyle="1" w:styleId="apple-converted-space">
    <w:name w:val="apple-converted-space"/>
    <w:basedOn w:val="Carpredefinitoparagrafo"/>
    <w:rsid w:val="00F6506C"/>
  </w:style>
  <w:style w:type="character" w:customStyle="1" w:styleId="grame">
    <w:name w:val="grame"/>
    <w:basedOn w:val="Carpredefinitoparagrafo"/>
    <w:rsid w:val="00F6506C"/>
  </w:style>
  <w:style w:type="paragraph" w:styleId="NormaleWeb">
    <w:name w:val="Normal (Web)"/>
    <w:basedOn w:val="Normale"/>
    <w:uiPriority w:val="99"/>
    <w:unhideWhenUsed/>
    <w:rsid w:val="00F6506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pelle">
    <w:name w:val="spelle"/>
    <w:basedOn w:val="Carpredefinitoparagrafo"/>
    <w:rsid w:val="00F6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24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2014-01-07T11:55:00Z</dcterms:created>
  <dcterms:modified xsi:type="dcterms:W3CDTF">2014-01-07T11:56:00Z</dcterms:modified>
</cp:coreProperties>
</file>